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>
  <w:body>
    <w:p>
      <w:pPr>
        <w:spacing w:line="240"/>
        <w:jc w:val="center"/>
      </w:pPr>
      <w:r>
        <w:rPr>
          <w:rFonts w:ascii="宋体" w:hAnsi="宋体" w:cs="宋体" w:eastAsia="宋体"/>
          <w:b w:val="true"/>
          <w:sz w:val="32"/>
          <w:szCs w:val="32"/>
        </w:rPr>
        <w:t>研究生课程选课操作说明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研究生课程实行“先选课、后上课”的管理模式，研究生选课使用北京交通大学自主开发的管理信息系统——</w:t>
      </w:r>
      <w:r>
        <w:rPr>
          <w:rFonts w:ascii="宋体" w:hAnsi="宋体" w:cs="宋体" w:eastAsia="宋体"/>
          <w:b w:val="true"/>
          <w:sz w:val="24"/>
          <w:szCs w:val="24"/>
        </w:rPr>
        <w:t>“北京交通大学教务系统”</w:t>
      </w:r>
      <w:r>
        <w:rPr>
          <w:rFonts w:ascii="宋体" w:hAnsi="宋体" w:cs="宋体" w:eastAsia="宋体"/>
          <w:sz w:val="24"/>
          <w:szCs w:val="24"/>
        </w:rPr>
        <w:t>——在网上进行。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一、</w:t>
      </w:r>
      <w:r>
        <w:rPr>
          <w:rFonts w:ascii="宋体" w:hAnsi="宋体" w:cs="宋体" w:eastAsia="宋体"/>
          <w:b w:val="true"/>
          <w:sz w:val="24"/>
          <w:szCs w:val="24"/>
        </w:rPr>
        <w:t>登录系统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首选途径：登录北京交通大学MIS系统：</w:t>
      </w:r>
      <w:hyperlink r:id="rId3">
        <w:r>
          <w:rPr>
            <w:color w:val="0000FF"/>
            <w:u w:val="single"/>
          </w:rPr>
          <w:t>https://mis.bjtu.edu.cn</w:t>
        </w:r>
      </w:hyperlink>
      <w:r>
        <w:rPr>
          <w:rFonts w:ascii="宋体" w:hAnsi="宋体" w:cs="宋体" w:eastAsia="宋体"/>
          <w:sz w:val="24"/>
          <w:szCs w:val="24"/>
        </w:rPr>
        <w:t>（北京交通大学校园信息门户），然后点选应用“32.教务系统”，进入“北京交通大学教务系统”，点击“课程选课”跳转至选课系统；</w:t>
      </w:r>
    </w:p>
    <w:p>
      <w:pPr>
        <w:spacing w:line="240"/>
        <w:jc w:val="center"/>
      </w:pPr>
      <w:r>
        <w:drawing>
          <wp:inline distT="0" distR="0" distB="0" distL="0">
            <wp:extent cx="5786120" cy="2756916"/>
            <wp:docPr id="0" name="Drawing 0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图片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6120" cy="275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both"/>
      </w:pPr>
      <w:r>
        <w:rPr>
          <w:rFonts w:ascii="宋体" w:hAnsi="宋体" w:cs="宋体" w:eastAsia="宋体"/>
          <w:sz w:val="24"/>
          <w:szCs w:val="24"/>
        </w:rPr>
        <w:t>  旁听生、推免生途径（普通学生可能无法登录）：登录北京交通大学研究生院主页：</w:t>
      </w:r>
      <w:hyperlink r:id="rId5">
        <w:r>
          <w:rPr>
            <w:color w:val="0000FF"/>
            <w:u w:val="single"/>
          </w:rPr>
          <w:t>https://gs.bjtu.edu.cn,点击</w:t>
        </w:r>
      </w:hyperlink>
      <w:r>
        <w:rPr>
          <w:rFonts w:ascii="宋体" w:hAnsi="宋体" w:cs="宋体" w:eastAsia="宋体"/>
          <w:sz w:val="24"/>
          <w:szCs w:val="24"/>
        </w:rPr>
        <w:t>“研究生教务系统”，跳转用户端口直接登录。默认用户名为学号（推免生为临时学号，非本科学号），密码为身份证后6位（区分大小写）。</w:t>
      </w:r>
    </w:p>
    <w:p>
      <w:pPr>
        <w:spacing w:line="240"/>
        <w:jc w:val="center"/>
      </w:pPr>
    </w:p>
    <w:p>
      <w:pPr>
        <w:spacing w:line="240"/>
        <w:jc w:val="center"/>
      </w:pPr>
      <w:r>
        <w:drawing>
          <wp:inline distT="0" distR="0" distB="0" distL="0">
            <wp:extent cx="5854192" cy="6305169"/>
            <wp:docPr id="1" name="Drawing 1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4192" cy="6305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b w:val="true"/>
          <w:sz w:val="24"/>
          <w:szCs w:val="24"/>
        </w:rPr>
        <w:t>二、选课准备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研究生选课前需要做好两项准备工作。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研究生课程学习遵循“先做计划、后选课”和“先选课、后修课”的原则，第一步，编制个人培养计划，要保证拟选修的课程已经添加到计划课程列表中。第二步，查询开课课堂信息，确定拟选修课程。</w:t>
      </w:r>
    </w:p>
    <w:p>
      <w:pPr>
        <w:spacing w:line="240"/>
        <w:jc w:val="left"/>
      </w:pPr>
      <w:r>
        <w:rPr>
          <w:rFonts w:ascii="宋体" w:hAnsi="宋体" w:cs="宋体" w:eastAsia="宋体"/>
          <w:b w:val="true"/>
          <w:sz w:val="24"/>
          <w:szCs w:val="24"/>
        </w:rPr>
        <w:t>  （一）编辑个人培养计划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1、关于个人培养计划的管理规定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管理规定（1）：研究生个人培养计划是培养工作和学位授予工作的主要依据；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管理规定（2）：研究生入学后应在两个月内</w:t>
      </w:r>
      <w:r>
        <w:rPr>
          <w:rFonts w:ascii="宋体" w:hAnsi="宋体" w:cs="宋体" w:eastAsia="宋体"/>
          <w:b w:val="true"/>
          <w:sz w:val="24"/>
          <w:szCs w:val="24"/>
        </w:rPr>
        <w:t>在指导教师的指导下完成“个人培养计划”的制定</w:t>
      </w:r>
      <w:r>
        <w:rPr>
          <w:rFonts w:ascii="宋体" w:hAnsi="宋体" w:cs="宋体" w:eastAsia="宋体"/>
          <w:sz w:val="24"/>
          <w:szCs w:val="24"/>
        </w:rPr>
        <w:t>，并由学生将个人培养计划录入到“北京交通大学教务系统”中；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管理规定（3）：个人培养计划确定后，学生和导师均应执行；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管理规定（4）：个人培养计划一旦出现变动，需要提交变动说明，应经导师同意。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2、个人培养计划的系统录入与编辑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登录系统,首先点击左侧目录栏“培养方案”中“我的培养方案”，查看自己培养方案课程设置表，确定拟选修课程是否为方案内课程。</w:t>
      </w:r>
    </w:p>
    <w:p>
      <w:pPr>
        <w:spacing w:line="240"/>
        <w:jc w:val="center"/>
      </w:pPr>
      <w:r>
        <w:drawing>
          <wp:inline distT="0" distR="0" distB="0" distL="0">
            <wp:extent cx="5930773" cy="3037713"/>
            <wp:docPr id="2" name="Drawing 2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0773" cy="3037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清楚培养方案后，点击“方案与计划”进入个人培养计划维护页面。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点击“编辑”进入信息录入页面，录入计划内容，点击“保存”完成信息录入。</w:t>
      </w:r>
    </w:p>
    <w:p>
      <w:pPr>
        <w:spacing w:line="240"/>
        <w:jc w:val="center"/>
      </w:pPr>
      <w:r>
        <w:drawing>
          <wp:inline distT="0" distR="0" distB="0" distL="0">
            <wp:extent cx="5879719" cy="6024372"/>
            <wp:docPr id="3" name="Drawing 3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9719" cy="602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点击“编辑计划课程”进入计划课程维护页面，通过“方式一：选择培养方案课程”；或“方式二：选择培养方案以外课程（输入课程号或课程名）”两种方式将拟修课程添加到计划课程中。</w:t>
      </w:r>
    </w:p>
    <w:p>
      <w:pPr>
        <w:spacing w:line="240"/>
        <w:jc w:val="center"/>
      </w:pPr>
      <w:r>
        <w:drawing>
          <wp:inline distT="0" distR="0" distB="0" distL="0">
            <wp:extent cx="5888228" cy="5888228"/>
            <wp:docPr id="4" name="Drawing 4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88228" cy="5888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3、注意事项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（1）通过方式二向培养计划课程列表中添加课程，系统会自动将所添加课程归入“自选课”课组。</w:t>
      </w:r>
    </w:p>
    <w:p>
      <w:pPr>
        <w:spacing w:line="240"/>
        <w:jc w:val="center"/>
      </w:pPr>
      <w:r>
        <w:drawing>
          <wp:inline distT="0" distR="0" distB="0" distL="0">
            <wp:extent cx="5786120" cy="2927096"/>
            <wp:docPr id="5" name="Drawing 5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6120" cy="292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（2）如果发现计划课程中某些课程的课组有错误，请删除然后按照正确的方式重新添加；如果已不能删除，请按规定程序向学院研究生科提出修改课组申请，由研究生科负责修改。</w:t>
      </w:r>
    </w:p>
    <w:p>
      <w:pPr>
        <w:spacing w:line="240"/>
        <w:jc w:val="center"/>
      </w:pPr>
      <w:r>
        <w:drawing>
          <wp:inline distT="0" distR="0" distB="0" distL="0">
            <wp:extent cx="5794629" cy="2901569"/>
            <wp:docPr id="6" name="Drawing 6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4629" cy="290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b w:val="true"/>
          <w:sz w:val="24"/>
          <w:szCs w:val="24"/>
        </w:rPr>
        <w:t>  （二）查询开课课堂信息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点击页面上方导航栏中的“课程选课”进入该模块，然后点击左侧目录栏中“选课”下的“选课课堂查询”来到研究生开课信息查询页面。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直接点击“查询”，系统会显示所有当前可以选修的研究生课程的开课信息，包括：课程名称、课程号、课序号、任课教师等开课信息；也可以在查询条件中输入要查询的关键字进行查询。在查询到的开课信息中，选择你想要选修的课程，记住其中的关键信息：课程名称、课程号以及课序号。</w:t>
      </w:r>
    </w:p>
    <w:p>
      <w:pPr>
        <w:spacing w:line="240"/>
        <w:jc w:val="center"/>
      </w:pPr>
      <w:r>
        <w:drawing>
          <wp:inline distT="0" distR="0" distB="0" distL="0">
            <wp:extent cx="5862701" cy="3063240"/>
            <wp:docPr id="7" name="Drawing 7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2701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b w:val="true"/>
          <w:sz w:val="24"/>
          <w:szCs w:val="24"/>
        </w:rPr>
        <w:t>  三、选课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点击页面上方导航栏中的“课程选课”，再选择左侧目录栏中“选课”下的“网上选课”进入选课页面。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如果你完成了前文所述的准备工作，你要选修的课程就会出现在“备选集”中。（“备选集”中出现的是：已列入你的计划课程、本学期开课、未修过的课程。）选中备选集中出现的你要选修的课程，输入验证码并完成选课。</w:t>
      </w:r>
    </w:p>
    <w:p>
      <w:pPr>
        <w:spacing w:line="240"/>
        <w:jc w:val="center"/>
      </w:pPr>
      <w:r>
        <w:drawing>
          <wp:inline distT="0" distR="0" distB="0" distL="0">
            <wp:extent cx="5675503" cy="2833497"/>
            <wp:docPr id="8" name="Drawing 8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图片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5503" cy="283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或者，可以通过课程号选课。在“课程号选课”栏目下，输入你所意愿选修的课程号与课序号，点击选课并输入验证码后，即可完成选课。（此操作的前提也是你已将你想选修的课程列入了计划课程。）另，当所想选修的课程在计划课程表中却不在备选集中时，可以通过课程号选课。</w:t>
      </w:r>
    </w:p>
    <w:p>
      <w:pPr>
        <w:spacing w:line="240"/>
        <w:jc w:val="center"/>
      </w:pPr>
      <w:r>
        <w:drawing>
          <wp:inline distT="0" distR="0" distB="0" distL="0">
            <wp:extent cx="5854192" cy="2867533"/>
            <wp:docPr id="9" name="Drawing 9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"/>
                    <pic:cNvPicPr>
                      <a:picLocks noChangeAspect="true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54192" cy="286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选课成功的课程会出现在“已选课程”中。</w:t>
      </w:r>
    </w:p>
    <w:p>
      <w:pPr>
        <w:spacing w:line="240"/>
        <w:jc w:val="center"/>
      </w:pPr>
      <w:r>
        <w:drawing>
          <wp:inline distT="0" distR="0" distB="0" distL="0">
            <wp:extent cx="5752084" cy="2952623"/>
            <wp:docPr id="10" name="Drawing 10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图片"/>
                    <pic:cNvPicPr>
                      <a:picLocks noChangeAspect="true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2084" cy="2952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完成所有选课操作后，点击“本学期课表”，确认选课是否成功。成功选中的课程会出现在课程表中。</w:t>
      </w:r>
    </w:p>
    <w:p>
      <w:pPr>
        <w:spacing w:line="240"/>
        <w:jc w:val="center"/>
      </w:pPr>
      <w:r>
        <w:drawing>
          <wp:inline distT="0" distR="0" distB="0" distL="0">
            <wp:extent cx="5794629" cy="2986659"/>
            <wp:docPr id="11" name="Drawing 11" descr="图片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94629" cy="2986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/>
        <w:jc w:val="center"/>
      </w:pPr>
    </w:p>
    <w:p>
      <w:pPr>
        <w:spacing w:line="240"/>
        <w:jc w:val="left"/>
      </w:pPr>
      <w:r>
        <w:rPr>
          <w:rFonts w:ascii="宋体" w:hAnsi="宋体" w:cs="宋体" w:eastAsia="宋体"/>
          <w:b w:val="true"/>
          <w:sz w:val="24"/>
          <w:szCs w:val="24"/>
        </w:rPr>
        <w:t>  四、其他说明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1.课程一旦选定，即，退补选结束后，原则上不再受理退课与补选课，选课记录无法修改，必须参加课程的学习、考试，不参加课程学习、考试的成绩记零分。每学期应根据个人具体情况慎重选课，不要选课过多，以免考试成绩不理想。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2.对于未进行网上选课的研究生，任课教师无权同意其参加考试、取得成绩，研究生院也不承认其学分与成绩。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3．专业课的上课时间、地点如有变动，研究生院会随时更新课程信息；如遇未能及时更新的情况，请以开课学院公布的为准。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4.上课时间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第一节：8：00—9：50；  第二节：10：10—12：00；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第三节：12：10—14：00；第四节：14：10—16：00；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第五节：16：20—18：10；第六节：19：00—20：50；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第七节：21：00—21：50。</w:t>
      </w:r>
    </w:p>
    <w:p>
      <w:pPr>
        <w:spacing w:line="240"/>
        <w:jc w:val="left"/>
      </w:pPr>
      <w:r>
        <w:rPr>
          <w:rFonts w:ascii="宋体" w:hAnsi="宋体" w:cs="宋体" w:eastAsia="宋体"/>
          <w:sz w:val="24"/>
          <w:szCs w:val="24"/>
        </w:rPr>
        <w:t>  5.教学楼简称：思源楼——SY；思源东楼——SD；思源西楼——SX；逸夫楼——YF；东校区一教——DQ；东校区二教——DQ2。</w:t>
      </w:r>
    </w:p>
    <w:p>
      <w:pPr>
        <w:jc w:val="left"/>
      </w:pPr>
    </w:p>
    <w:sectPr>
      <w:pgSz w:orient="portrait" w:w="11900" w:h="16840"/>
      <w:pgMar w:bottom="1440" w:left="1800" w:right="1800" w:top="1440" w:footer="992" w:header="851"/>
      <w:cols w:space="425"/>
      <w:docGrid w:type="lines" w:linePitch="312"/>
    </w:sectPr>
  </w:body>
</w:document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>
  <w:docDefaults>
    <w:rPrDefault>
      <w:rPr>
        <w:rFonts w:eastAsia="微软雅黑" w:hAnsi="微软雅黑" w:ascii="微软雅黑" w:cs="微软雅黑"/>
        <w:sz w:val="22"/>
      </w:rPr>
    </w:rPrDefault>
    <w:pPrDefault>
      <w:pPr/>
    </w:pPrDefault>
  </w:docDefaults>
  <w:style w:styleId="shimo normal" w:customStyle="1">
    <w:name w:val="石墨文档正文"/>
    <w:qFormat/>
    <w:rPr>
      <w:sz w:val="22"/>
      <w:szCs w:val="22"/>
    </w:rPr>
  </w:style>
  <w:style w:styleId="shimo heading title" w:customStyle="1">
    <w:name w:val="石墨文档标题"/>
    <w:next w:val="shimo normal"/>
    <w:uiPriority w:val="9"/>
    <w:unhideWhenUsed/>
    <w:qFormat/>
    <w:pPr>
      <w:spacing w:before="260" w:after="260" w:lineRule="auto"/>
      <w:outlineLvl w:val="0"/>
    </w:pPr>
    <w:rPr>
      <w:b/>
      <w:bCs/>
      <w:sz w:val="40"/>
      <w:szCs w:val="40"/>
    </w:rPr>
  </w:style>
  <w:style w:styleId="shimo heading subtitle" w:customStyle="1">
    <w:name w:val="石墨文档副标题"/>
    <w:qFormat/>
    <w:pPr>
      <w:spacing w:before="260" w:after="260" w:lineRule="auto"/>
    </w:pPr>
    <w:rPr>
      <w:color w:val="888888"/>
      <w:sz w:val="36"/>
      <w:szCs w:val="36"/>
    </w:rPr>
  </w:style>
  <w:style w:styleId="shimo heading 1" w:customStyle="1">
    <w:name w:val="石墨文档标题 1"/>
    <w:next w:val="shimo normal"/>
    <w:uiPriority w:val="9"/>
    <w:unhideWhenUsed/>
    <w:qFormat/>
    <w:pPr>
      <w:spacing w:before="260" w:after="260" w:lineRule="auto"/>
      <w:outlineLvl w:val="0"/>
    </w:pPr>
    <w:rPr>
      <w:b/>
      <w:bCs/>
      <w:sz w:val="32"/>
      <w:szCs w:val="32"/>
    </w:rPr>
  </w:style>
  <w:style w:styleId="shimo heading 2" w:customStyle="1">
    <w:name w:val="石墨文档标题 2"/>
    <w:next w:val="shimo normal"/>
    <w:uiPriority w:val="9"/>
    <w:unhideWhenUsed/>
    <w:qFormat/>
    <w:pPr>
      <w:spacing w:before="260" w:after="260" w:lineRule="auto"/>
      <w:outlineLvl w:val="1"/>
    </w:pPr>
    <w:rPr>
      <w:b/>
      <w:bCs/>
      <w:sz w:val="28"/>
      <w:szCs w:val="28"/>
    </w:rPr>
  </w:style>
  <w:style w:styleId="shimo heading 3" w:customStyle="1">
    <w:name w:val="石墨文档标题 3"/>
    <w:next w:val="shimo normal"/>
    <w:uiPriority w:val="9"/>
    <w:unhideWhenUsed/>
    <w:qFormat/>
    <w:pPr>
      <w:spacing w:before="260" w:after="260" w:lineRule="auto"/>
      <w:outlineLvl w:val="2"/>
    </w:pPr>
    <w:rPr>
      <w:b/>
      <w:bCs/>
      <w:sz w:val="26"/>
      <w:szCs w:val="26"/>
    </w:rPr>
  </w:style>
  <w:style w:styleId="shimo heading 4" w:customStyle="1">
    <w:name w:val="石墨文档标题 4"/>
    <w:next w:val="shimo normal"/>
    <w:uiPriority w:val="9"/>
    <w:unhideWhenUsed/>
    <w:qFormat/>
    <w:pPr>
      <w:spacing w:before="260" w:after="260" w:lineRule="auto"/>
      <w:outlineLvl w:val="3"/>
    </w:pPr>
    <w:rPr>
      <w:b/>
      <w:bCs/>
      <w:sz w:val="24"/>
      <w:szCs w:val="24"/>
    </w:rPr>
  </w:style>
  <w:style w:styleId="shimo piece" w:customStyle="1">
    <w:name w:val="石墨文档引用"/>
    <w:qFormat/>
    <w:pPr>
      <w:pBdr>
        <w:left w:val="single" w:space="10" w:color="f0f0f0" w:sz="30"/>
      </w:pBdr>
    </w:pPr>
    <w:rPr>
      <w:color w:val="adadad"/>
    </w:r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10" Target="media/image6.png" Type="http://schemas.openxmlformats.org/officeDocument/2006/relationships/image"/><Relationship Id="rId11" Target="media/image7.png" Type="http://schemas.openxmlformats.org/officeDocument/2006/relationships/image"/><Relationship Id="rId12" Target="media/image8.png" Type="http://schemas.openxmlformats.org/officeDocument/2006/relationships/image"/><Relationship Id="rId13" Target="media/image9.png" Type="http://schemas.openxmlformats.org/officeDocument/2006/relationships/image"/><Relationship Id="rId14" Target="media/image10.png" Type="http://schemas.openxmlformats.org/officeDocument/2006/relationships/image"/><Relationship Id="rId15" Target="media/image11.png" Type="http://schemas.openxmlformats.org/officeDocument/2006/relationships/image"/><Relationship Id="rId16" Target="media/image12.png" Type="http://schemas.openxmlformats.org/officeDocument/2006/relationships/image"/><Relationship Id="rId2" Target="styles.xml" Type="http://schemas.openxmlformats.org/officeDocument/2006/relationships/styles"/><Relationship Id="rId3" Target="https://mis.bjtu.edu.cn" TargetMode="External" Type="http://schemas.openxmlformats.org/officeDocument/2006/relationships/hyperlink"/><Relationship Id="rId4" Target="media/image1.png" Type="http://schemas.openxmlformats.org/officeDocument/2006/relationships/image"/><Relationship Id="rId5" Target="https://gs.bjtu.edu.cn,%E7%82%B9%E5%87%BB" TargetMode="External" Type="http://schemas.openxmlformats.org/officeDocument/2006/relationships/hyperlink"/><Relationship Id="rId6" Target="media/image2.png" Type="http://schemas.openxmlformats.org/officeDocument/2006/relationships/image"/><Relationship Id="rId7" Target="media/image3.png" Type="http://schemas.openxmlformats.org/officeDocument/2006/relationships/image"/><Relationship Id="rId8" Target="media/image4.png" Type="http://schemas.openxmlformats.org/officeDocument/2006/relationships/image"/><Relationship Id="rId9" Target="media/image5.png" Type="http://schemas.openxmlformats.org/officeDocument/2006/relationships/image"/></Relationships>
</file>

<file path=docProps/app.xml><?xml version="1.0" encoding="utf-8"?>
<Properties xmlns="http://schemas.openxmlformats.org/officeDocument/2006/extended-properties">
  <Application>Shimo.im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2022-04-01T10:04:12Z</dcterms:created>
  <dc:creator> </dc:creator>
</cp:coreProperties>
</file>